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AB85" w14:textId="29B02271" w:rsidR="00954522" w:rsidRPr="00D0316E" w:rsidRDefault="00412536" w:rsidP="00412536">
      <w:pPr>
        <w:jc w:val="center"/>
        <w:rPr>
          <w:b/>
          <w:bCs/>
          <w:sz w:val="32"/>
          <w:szCs w:val="32"/>
        </w:rPr>
      </w:pPr>
      <w:r w:rsidRPr="00D0316E">
        <w:rPr>
          <w:b/>
          <w:bCs/>
          <w:sz w:val="32"/>
          <w:szCs w:val="32"/>
        </w:rPr>
        <w:t xml:space="preserve">Prêt </w:t>
      </w:r>
      <w:r w:rsidR="00E271A6" w:rsidRPr="00D0316E">
        <w:rPr>
          <w:b/>
          <w:bCs/>
          <w:sz w:val="32"/>
          <w:szCs w:val="32"/>
        </w:rPr>
        <w:t>T</w:t>
      </w:r>
      <w:r w:rsidRPr="00D0316E">
        <w:rPr>
          <w:b/>
          <w:bCs/>
          <w:sz w:val="32"/>
          <w:szCs w:val="32"/>
        </w:rPr>
        <w:t>emporaire de Main-d’</w:t>
      </w:r>
      <w:r w:rsidR="00E271A6" w:rsidRPr="00D0316E">
        <w:rPr>
          <w:b/>
          <w:bCs/>
          <w:sz w:val="32"/>
          <w:szCs w:val="32"/>
        </w:rPr>
        <w:t>o</w:t>
      </w:r>
      <w:r w:rsidRPr="00D0316E">
        <w:rPr>
          <w:b/>
          <w:bCs/>
          <w:sz w:val="32"/>
          <w:szCs w:val="32"/>
        </w:rPr>
        <w:t>euvre</w:t>
      </w:r>
      <w:r w:rsidR="00B12348" w:rsidRPr="00D0316E">
        <w:rPr>
          <w:b/>
          <w:bCs/>
          <w:sz w:val="32"/>
          <w:szCs w:val="32"/>
        </w:rPr>
        <w:t xml:space="preserve"> (PTMO)</w:t>
      </w:r>
    </w:p>
    <w:p w14:paraId="0EB6A020" w14:textId="77777777" w:rsidR="00412536" w:rsidRPr="00D0316E" w:rsidRDefault="00412536" w:rsidP="00412536">
      <w:pPr>
        <w:rPr>
          <w:b/>
          <w:bCs/>
          <w:sz w:val="28"/>
          <w:szCs w:val="28"/>
        </w:rPr>
      </w:pPr>
    </w:p>
    <w:p w14:paraId="2A8D94DC" w14:textId="60AD0D17" w:rsidR="00582077" w:rsidRDefault="00582077" w:rsidP="00412536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582077">
        <w:rPr>
          <w:b/>
          <w:bCs/>
          <w:sz w:val="28"/>
          <w:szCs w:val="28"/>
        </w:rPr>
        <w:t>Définition du prêt temporaire d</w:t>
      </w:r>
      <w:r>
        <w:rPr>
          <w:b/>
          <w:bCs/>
          <w:sz w:val="28"/>
          <w:szCs w:val="28"/>
        </w:rPr>
        <w:t>e MO</w:t>
      </w:r>
    </w:p>
    <w:p w14:paraId="3CEA90DB" w14:textId="77777777" w:rsidR="00582077" w:rsidRDefault="00582077" w:rsidP="00582077">
      <w:pPr>
        <w:pStyle w:val="Paragraphedeliste"/>
        <w:rPr>
          <w:b/>
          <w:bCs/>
          <w:sz w:val="28"/>
          <w:szCs w:val="28"/>
        </w:rPr>
      </w:pPr>
    </w:p>
    <w:p w14:paraId="3356A0CE" w14:textId="6F006E42" w:rsidR="00582077" w:rsidRPr="00B12348" w:rsidRDefault="00582077" w:rsidP="00582077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B12348">
        <w:rPr>
          <w:sz w:val="28"/>
          <w:szCs w:val="28"/>
        </w:rPr>
        <w:t xml:space="preserve">Contrat par lequel un employeur met temporairement un </w:t>
      </w:r>
      <w:r w:rsidR="00F52B84" w:rsidRPr="00B12348">
        <w:rPr>
          <w:sz w:val="28"/>
          <w:szCs w:val="28"/>
        </w:rPr>
        <w:t>o</w:t>
      </w:r>
      <w:r w:rsidRPr="00B12348">
        <w:rPr>
          <w:sz w:val="28"/>
          <w:szCs w:val="28"/>
        </w:rPr>
        <w:t>u plusieurs de ses salariés à la disposition d’un autre employeur</w:t>
      </w:r>
    </w:p>
    <w:p w14:paraId="58807EBA" w14:textId="618C728C" w:rsidR="009F656B" w:rsidRPr="00B12348" w:rsidRDefault="009F656B" w:rsidP="00582077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B12348">
        <w:rPr>
          <w:sz w:val="28"/>
          <w:szCs w:val="28"/>
        </w:rPr>
        <w:t>Le contrat de travail du salarié avec son entreprise d’origine est maintenu sans perte de salaire</w:t>
      </w:r>
    </w:p>
    <w:p w14:paraId="43170EBB" w14:textId="6AF15428" w:rsidR="00FB3CE6" w:rsidRPr="00B12348" w:rsidRDefault="00FB3CE6" w:rsidP="00FB3CE6">
      <w:pPr>
        <w:pStyle w:val="Paragraphedeliste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FB3CE6">
        <w:rPr>
          <w:rFonts w:eastAsia="Times New Roman" w:cstheme="minorHAnsi"/>
          <w:sz w:val="28"/>
          <w:szCs w:val="28"/>
          <w:lang w:val="fr-FR" w:eastAsia="fr-LU"/>
        </w:rPr>
        <w:t>L</w:t>
      </w:r>
      <w:r w:rsidR="00B87F98">
        <w:rPr>
          <w:rFonts w:eastAsia="Times New Roman" w:cstheme="minorHAnsi"/>
          <w:sz w:val="28"/>
          <w:szCs w:val="28"/>
          <w:lang w:val="fr-FR" w:eastAsia="fr-LU"/>
        </w:rPr>
        <w:t>e salaire</w:t>
      </w:r>
      <w:r w:rsidRPr="00FB3CE6">
        <w:rPr>
          <w:rFonts w:eastAsia="Times New Roman" w:cstheme="minorHAnsi"/>
          <w:sz w:val="28"/>
          <w:szCs w:val="28"/>
          <w:lang w:val="fr-FR" w:eastAsia="fr-LU"/>
        </w:rPr>
        <w:t xml:space="preserve"> versé par l’entreprise d’origine au salarié mis à disposition ne peut être inférieure à </w:t>
      </w:r>
      <w:r w:rsidR="00B87F98">
        <w:rPr>
          <w:rFonts w:eastAsia="Times New Roman" w:cstheme="minorHAnsi"/>
          <w:sz w:val="28"/>
          <w:szCs w:val="28"/>
          <w:lang w:val="fr-FR" w:eastAsia="fr-LU"/>
        </w:rPr>
        <w:t>celui</w:t>
      </w:r>
      <w:r w:rsidRPr="00FB3CE6">
        <w:rPr>
          <w:rFonts w:eastAsia="Times New Roman" w:cstheme="minorHAnsi"/>
          <w:sz w:val="28"/>
          <w:szCs w:val="28"/>
          <w:lang w:val="fr-FR" w:eastAsia="fr-LU"/>
        </w:rPr>
        <w:t xml:space="preserve"> </w:t>
      </w:r>
      <w:r w:rsidR="00B87F98">
        <w:rPr>
          <w:rFonts w:eastAsia="Times New Roman" w:cstheme="minorHAnsi"/>
          <w:sz w:val="28"/>
          <w:szCs w:val="28"/>
          <w:lang w:val="fr-FR" w:eastAsia="fr-LU"/>
        </w:rPr>
        <w:t xml:space="preserve">auquel </w:t>
      </w:r>
      <w:r w:rsidRPr="00FB3CE6">
        <w:rPr>
          <w:rFonts w:eastAsia="Times New Roman" w:cstheme="minorHAnsi"/>
          <w:sz w:val="28"/>
          <w:szCs w:val="28"/>
          <w:lang w:val="fr-FR" w:eastAsia="fr-LU"/>
        </w:rPr>
        <w:t>pourrait prétendre, après période d’essai, un salarié de même qualification professionnelle ou de qualification professionnelle équivalente embauché dans les mêmes conditions comme salarié permanent par l’utilisateur.</w:t>
      </w:r>
    </w:p>
    <w:p w14:paraId="7A83536D" w14:textId="40CE6B08" w:rsidR="00FB3CE6" w:rsidRDefault="00B12348" w:rsidP="00B12348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B12348">
        <w:rPr>
          <w:sz w:val="28"/>
          <w:szCs w:val="28"/>
        </w:rPr>
        <w:t xml:space="preserve">Le </w:t>
      </w:r>
      <w:r>
        <w:rPr>
          <w:sz w:val="28"/>
          <w:szCs w:val="28"/>
        </w:rPr>
        <w:t>PTMO</w:t>
      </w:r>
      <w:r w:rsidRPr="00B12348">
        <w:rPr>
          <w:sz w:val="28"/>
          <w:szCs w:val="28"/>
        </w:rPr>
        <w:t xml:space="preserve"> doit être effectué de façon non lucrative. Il n’est pas censé rapporter de profits à l’entreprise d’origine.</w:t>
      </w:r>
    </w:p>
    <w:p w14:paraId="22A69E58" w14:textId="77777777" w:rsidR="00B12348" w:rsidRPr="00B12348" w:rsidRDefault="00B12348" w:rsidP="00B12348">
      <w:pPr>
        <w:pStyle w:val="Paragraphedeliste"/>
        <w:ind w:left="1080"/>
        <w:jc w:val="both"/>
        <w:rPr>
          <w:sz w:val="28"/>
          <w:szCs w:val="28"/>
        </w:rPr>
      </w:pPr>
    </w:p>
    <w:p w14:paraId="15AB7574" w14:textId="5B023A4E" w:rsidR="005677A5" w:rsidRDefault="005677A5" w:rsidP="005677A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5677A5">
        <w:rPr>
          <w:b/>
          <w:bCs/>
          <w:sz w:val="28"/>
          <w:szCs w:val="28"/>
        </w:rPr>
        <w:t>Autorisation du ministre du Travail</w:t>
      </w:r>
      <w:r w:rsidR="001C5DEF">
        <w:rPr>
          <w:b/>
          <w:bCs/>
          <w:sz w:val="28"/>
          <w:szCs w:val="28"/>
        </w:rPr>
        <w:t xml:space="preserve"> – Notification à l’ADEM</w:t>
      </w:r>
    </w:p>
    <w:p w14:paraId="7FAE5DAF" w14:textId="77777777" w:rsidR="00E271A6" w:rsidRPr="005677A5" w:rsidRDefault="00E271A6" w:rsidP="00E271A6">
      <w:pPr>
        <w:pStyle w:val="Paragraphedeliste"/>
        <w:rPr>
          <w:b/>
          <w:bCs/>
          <w:sz w:val="28"/>
          <w:szCs w:val="28"/>
        </w:rPr>
      </w:pPr>
    </w:p>
    <w:p w14:paraId="78454D17" w14:textId="1AFD0C37" w:rsidR="005677A5" w:rsidRDefault="005677A5" w:rsidP="005677A5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5677A5">
        <w:rPr>
          <w:sz w:val="28"/>
          <w:szCs w:val="28"/>
        </w:rPr>
        <w:t>Les employeurs (autres que les entrepreneurs de travail intérimaire)</w:t>
      </w:r>
      <w:r>
        <w:rPr>
          <w:sz w:val="28"/>
          <w:szCs w:val="28"/>
        </w:rPr>
        <w:t xml:space="preserve"> peuvent être autorisés par le ministre du Travail, </w:t>
      </w:r>
      <w:r w:rsidR="001D3937">
        <w:rPr>
          <w:sz w:val="28"/>
          <w:szCs w:val="28"/>
        </w:rPr>
        <w:t xml:space="preserve">après avis de l’ADEM, </w:t>
      </w:r>
      <w:r>
        <w:rPr>
          <w:sz w:val="28"/>
          <w:szCs w:val="28"/>
        </w:rPr>
        <w:t>pour une durée qu’il détermine, à mettre leurs salariés à la disposition provisoire d’autres employeurs, en cas :</w:t>
      </w:r>
    </w:p>
    <w:p w14:paraId="0EBD48FB" w14:textId="67846169" w:rsidR="005677A5" w:rsidRPr="00D22A5F" w:rsidRDefault="005677A5" w:rsidP="005677A5">
      <w:pPr>
        <w:pStyle w:val="Paragraphedeliste"/>
        <w:numPr>
          <w:ilvl w:val="1"/>
          <w:numId w:val="3"/>
        </w:numPr>
        <w:jc w:val="both"/>
        <w:rPr>
          <w:sz w:val="28"/>
          <w:szCs w:val="28"/>
        </w:rPr>
      </w:pPr>
      <w:r w:rsidRPr="00D22A5F">
        <w:rPr>
          <w:sz w:val="28"/>
          <w:szCs w:val="28"/>
        </w:rPr>
        <w:t>De menace de licenciement ou de sous-emploi des salariés de l’entreprise d’origine</w:t>
      </w:r>
    </w:p>
    <w:p w14:paraId="170B9F05" w14:textId="275FA565" w:rsidR="005677A5" w:rsidRPr="00B12348" w:rsidRDefault="00BE5D73" w:rsidP="005677A5">
      <w:pPr>
        <w:pStyle w:val="Paragraphedeliste"/>
        <w:numPr>
          <w:ilvl w:val="1"/>
          <w:numId w:val="3"/>
        </w:numPr>
        <w:jc w:val="both"/>
        <w:rPr>
          <w:sz w:val="28"/>
          <w:szCs w:val="28"/>
        </w:rPr>
      </w:pPr>
      <w:r w:rsidRPr="00B12348">
        <w:rPr>
          <w:sz w:val="28"/>
          <w:szCs w:val="28"/>
        </w:rPr>
        <w:t>D’exécution d’un travail occasionnel que l’entreprise utilisatrice ne peut réaliser avec ses propres salariés. Dans ce cas l’entreprise utilisatrice peut faire appel aux salariés d’une autre entreprise, à condition que cette dernière relève du même secteur d’activité.</w:t>
      </w:r>
    </w:p>
    <w:p w14:paraId="24909E6F" w14:textId="2F608F78" w:rsidR="00D95256" w:rsidRDefault="00D95256" w:rsidP="005677A5">
      <w:pPr>
        <w:pStyle w:val="Paragraphedeliste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 restructuration au sein d’un groupe d’entreprises (groupe de sociétés)</w:t>
      </w:r>
    </w:p>
    <w:p w14:paraId="39CED7EC" w14:textId="07ECE66F" w:rsidR="00BE5D73" w:rsidRPr="00B12348" w:rsidRDefault="00BE5D73" w:rsidP="005677A5">
      <w:pPr>
        <w:pStyle w:val="Paragraphedeliste"/>
        <w:numPr>
          <w:ilvl w:val="1"/>
          <w:numId w:val="3"/>
        </w:numPr>
        <w:jc w:val="both"/>
        <w:rPr>
          <w:sz w:val="28"/>
          <w:szCs w:val="28"/>
        </w:rPr>
      </w:pPr>
      <w:r w:rsidRPr="00B12348">
        <w:rPr>
          <w:sz w:val="28"/>
          <w:szCs w:val="28"/>
        </w:rPr>
        <w:t xml:space="preserve">Dans le cadre d’un plan de maintien de l’emploi, homologué par le ministre </w:t>
      </w:r>
      <w:r w:rsidR="001D3937">
        <w:rPr>
          <w:sz w:val="28"/>
          <w:szCs w:val="28"/>
        </w:rPr>
        <w:t>d</w:t>
      </w:r>
      <w:r w:rsidRPr="00B12348">
        <w:rPr>
          <w:sz w:val="28"/>
          <w:szCs w:val="28"/>
        </w:rPr>
        <w:t>u Travail</w:t>
      </w:r>
    </w:p>
    <w:p w14:paraId="0726B1D1" w14:textId="79A8C7BC" w:rsidR="005677A5" w:rsidRPr="00D22A5F" w:rsidRDefault="001C5DEF" w:rsidP="005677A5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D22A5F">
        <w:rPr>
          <w:sz w:val="28"/>
          <w:szCs w:val="28"/>
        </w:rPr>
        <w:t>Lorsque la mise à disposition</w:t>
      </w:r>
      <w:r w:rsidR="001D3937">
        <w:rPr>
          <w:sz w:val="28"/>
          <w:szCs w:val="28"/>
        </w:rPr>
        <w:t xml:space="preserve"> provisoire du salarié</w:t>
      </w:r>
      <w:r w:rsidRPr="00D22A5F">
        <w:rPr>
          <w:sz w:val="28"/>
          <w:szCs w:val="28"/>
        </w:rPr>
        <w:t xml:space="preserve"> ne dépasse pas 8 semaines, successives ou non, au cours d’une période de référence de 6 mois, une simple notification préalable, adressée à l’ADEM est suffisante</w:t>
      </w:r>
    </w:p>
    <w:p w14:paraId="1BAF9261" w14:textId="35358940" w:rsidR="00FB3CE6" w:rsidRPr="00D22A5F" w:rsidRDefault="00FB3CE6" w:rsidP="00FB3CE6">
      <w:pPr>
        <w:pStyle w:val="Paragraphedeliste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D22A5F">
        <w:rPr>
          <w:rFonts w:eastAsia="Times New Roman" w:cstheme="minorHAnsi"/>
          <w:sz w:val="28"/>
          <w:szCs w:val="28"/>
          <w:lang w:val="fr-FR" w:eastAsia="fr-LU"/>
        </w:rPr>
        <w:lastRenderedPageBreak/>
        <w:t>Lorsque la mise à disposition</w:t>
      </w:r>
      <w:r w:rsidR="001D3937">
        <w:rPr>
          <w:rFonts w:eastAsia="Times New Roman" w:cstheme="minorHAnsi"/>
          <w:sz w:val="28"/>
          <w:szCs w:val="28"/>
          <w:lang w:val="fr-FR" w:eastAsia="fr-LU"/>
        </w:rPr>
        <w:t xml:space="preserve"> provisoire du salarié</w:t>
      </w:r>
      <w:r w:rsidRPr="00D22A5F">
        <w:rPr>
          <w:rFonts w:eastAsia="Times New Roman" w:cstheme="minorHAnsi"/>
          <w:sz w:val="28"/>
          <w:szCs w:val="28"/>
          <w:lang w:val="fr-FR" w:eastAsia="fr-LU"/>
        </w:rPr>
        <w:t xml:space="preserve"> dépasse 8 semaines, successives ou non, au cours d’une période de référence de 6 mois, l’autorisation du ministre du Travail devra être sollicitée par le biais</w:t>
      </w:r>
      <w:r w:rsidR="00B26341" w:rsidRPr="00D22A5F">
        <w:rPr>
          <w:rFonts w:eastAsia="Times New Roman" w:cstheme="minorHAnsi"/>
          <w:sz w:val="28"/>
          <w:szCs w:val="28"/>
          <w:lang w:val="fr-FR" w:eastAsia="fr-LU"/>
        </w:rPr>
        <w:t xml:space="preserve"> </w:t>
      </w:r>
      <w:r w:rsidRPr="00D22A5F">
        <w:rPr>
          <w:rFonts w:eastAsia="Times New Roman" w:cstheme="minorHAnsi"/>
          <w:sz w:val="28"/>
          <w:szCs w:val="28"/>
          <w:lang w:val="fr-FR" w:eastAsia="fr-LU"/>
        </w:rPr>
        <w:t>:</w:t>
      </w:r>
    </w:p>
    <w:p w14:paraId="398F5B2C" w14:textId="1C16E5C0" w:rsidR="00FB3CE6" w:rsidRPr="00B26341" w:rsidRDefault="00D22A5F" w:rsidP="00FB3C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val="fr-FR" w:eastAsia="fr-LU"/>
        </w:rPr>
      </w:pPr>
      <w:r>
        <w:rPr>
          <w:rFonts w:eastAsia="Times New Roman" w:cstheme="minorHAnsi"/>
          <w:sz w:val="28"/>
          <w:szCs w:val="28"/>
          <w:lang w:val="fr-FR" w:eastAsia="fr-LU"/>
        </w:rPr>
        <w:t>D</w:t>
      </w:r>
      <w:r w:rsidR="00FB3CE6" w:rsidRPr="00B26341">
        <w:rPr>
          <w:rFonts w:eastAsia="Times New Roman" w:cstheme="minorHAnsi"/>
          <w:sz w:val="28"/>
          <w:szCs w:val="28"/>
          <w:lang w:val="fr-FR" w:eastAsia="fr-LU"/>
        </w:rPr>
        <w:t>’une requête motivée,</w:t>
      </w:r>
    </w:p>
    <w:p w14:paraId="4BA968D9" w14:textId="496502AE" w:rsidR="00FB3CE6" w:rsidRPr="00B26341" w:rsidRDefault="00D22A5F" w:rsidP="00FB3C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val="fr-FR" w:eastAsia="fr-LU"/>
        </w:rPr>
      </w:pPr>
      <w:r>
        <w:rPr>
          <w:rFonts w:eastAsia="Times New Roman" w:cstheme="minorHAnsi"/>
          <w:sz w:val="28"/>
          <w:szCs w:val="28"/>
          <w:lang w:val="fr-FR" w:eastAsia="fr-LU"/>
        </w:rPr>
        <w:t>P</w:t>
      </w:r>
      <w:r w:rsidR="00FB3CE6" w:rsidRPr="00B26341">
        <w:rPr>
          <w:rFonts w:eastAsia="Times New Roman" w:cstheme="minorHAnsi"/>
          <w:sz w:val="28"/>
          <w:szCs w:val="28"/>
          <w:lang w:val="fr-FR" w:eastAsia="fr-LU"/>
        </w:rPr>
        <w:t xml:space="preserve">résentée conjointement par l’entreprise d’origine des salariés et l’entreprise utilisatrice </w:t>
      </w:r>
      <w:r w:rsidR="00813E16">
        <w:rPr>
          <w:rFonts w:eastAsia="Times New Roman" w:cstheme="minorHAnsi"/>
          <w:sz w:val="28"/>
          <w:szCs w:val="28"/>
          <w:lang w:val="fr-FR" w:eastAsia="fr-LU"/>
        </w:rPr>
        <w:t>du salarié</w:t>
      </w:r>
    </w:p>
    <w:p w14:paraId="3D2819B5" w14:textId="30FF7A96" w:rsidR="00FB3CE6" w:rsidRPr="00B26341" w:rsidRDefault="00D22A5F" w:rsidP="00FB3C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val="fr-FR" w:eastAsia="fr-LU"/>
        </w:rPr>
      </w:pPr>
      <w:r>
        <w:rPr>
          <w:rFonts w:eastAsia="Times New Roman" w:cstheme="minorHAnsi"/>
          <w:sz w:val="28"/>
          <w:szCs w:val="28"/>
          <w:lang w:val="fr-FR" w:eastAsia="fr-LU"/>
        </w:rPr>
        <w:t>A</w:t>
      </w:r>
      <w:r w:rsidR="00FB3CE6" w:rsidRPr="00B26341">
        <w:rPr>
          <w:rFonts w:eastAsia="Times New Roman" w:cstheme="minorHAnsi"/>
          <w:sz w:val="28"/>
          <w:szCs w:val="28"/>
          <w:lang w:val="fr-FR" w:eastAsia="fr-LU"/>
        </w:rPr>
        <w:t>ccompagnée, sous peine d’irrecevabilité, de l’avis de</w:t>
      </w:r>
      <w:r w:rsidR="001D3937">
        <w:rPr>
          <w:rFonts w:eastAsia="Times New Roman" w:cstheme="minorHAnsi"/>
          <w:sz w:val="28"/>
          <w:szCs w:val="28"/>
          <w:lang w:val="fr-FR" w:eastAsia="fr-LU"/>
        </w:rPr>
        <w:t xml:space="preserve"> la</w:t>
      </w:r>
      <w:r w:rsidR="00FB3CE6" w:rsidRPr="00B26341">
        <w:rPr>
          <w:rFonts w:eastAsia="Times New Roman" w:cstheme="minorHAnsi"/>
          <w:sz w:val="28"/>
          <w:szCs w:val="28"/>
          <w:lang w:val="fr-FR" w:eastAsia="fr-LU"/>
        </w:rPr>
        <w:t xml:space="preserve"> délégation du personnel</w:t>
      </w:r>
      <w:r w:rsidR="001D3937">
        <w:rPr>
          <w:rFonts w:eastAsia="Times New Roman" w:cstheme="minorHAnsi"/>
          <w:sz w:val="28"/>
          <w:szCs w:val="28"/>
          <w:lang w:val="fr-FR" w:eastAsia="fr-LU"/>
        </w:rPr>
        <w:t xml:space="preserve"> de l’entreprise d’origine du salarié et de celle de l’entreprise utilisatrice</w:t>
      </w:r>
      <w:r w:rsidR="00FB3CE6" w:rsidRPr="00B26341">
        <w:rPr>
          <w:rFonts w:eastAsia="Times New Roman" w:cstheme="minorHAnsi"/>
          <w:sz w:val="28"/>
          <w:szCs w:val="28"/>
          <w:lang w:val="fr-FR" w:eastAsia="fr-LU"/>
        </w:rPr>
        <w:t>, s’il y en a.</w:t>
      </w:r>
    </w:p>
    <w:p w14:paraId="643A7CB9" w14:textId="3CFA2FEA" w:rsidR="006C179A" w:rsidRDefault="006C179A" w:rsidP="005A21B6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sz w:val="28"/>
          <w:szCs w:val="28"/>
          <w:lang w:val="fr-FR" w:eastAsia="fr-LU"/>
        </w:rPr>
      </w:pPr>
      <w:r>
        <w:rPr>
          <w:rFonts w:eastAsia="Times New Roman" w:cstheme="minorHAnsi"/>
          <w:sz w:val="28"/>
          <w:szCs w:val="28"/>
          <w:lang w:val="fr-FR" w:eastAsia="fr-LU"/>
        </w:rPr>
        <w:t>Au cas où il n’y aurait pas de délégation (&lt;15 salariés), l’accord écrit du salarié est nécessaire.</w:t>
      </w:r>
    </w:p>
    <w:p w14:paraId="441D9D19" w14:textId="4F75C4C2" w:rsidR="00A05A9E" w:rsidRDefault="00A05A9E" w:rsidP="00D03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sz w:val="28"/>
          <w:szCs w:val="28"/>
          <w:lang w:val="fr-FR" w:eastAsia="fr-LU"/>
        </w:rPr>
      </w:pPr>
      <w:r w:rsidRPr="00551554">
        <w:rPr>
          <w:rFonts w:eastAsia="Times New Roman" w:cstheme="minorHAnsi"/>
          <w:sz w:val="28"/>
          <w:szCs w:val="28"/>
          <w:lang w:val="fr-FR" w:eastAsia="fr-LU"/>
        </w:rPr>
        <w:t>Concrètement, la demande de PTMO à adresser à l’ADEM</w:t>
      </w:r>
      <w:r w:rsidR="00904E80">
        <w:rPr>
          <w:rStyle w:val="Appelnotedebasdep"/>
          <w:rFonts w:eastAsia="Times New Roman" w:cstheme="minorHAnsi"/>
          <w:sz w:val="28"/>
          <w:szCs w:val="28"/>
          <w:lang w:val="fr-FR" w:eastAsia="fr-LU"/>
        </w:rPr>
        <w:footnoteReference w:id="1"/>
      </w:r>
      <w:r w:rsidRPr="00551554">
        <w:rPr>
          <w:rFonts w:eastAsia="Times New Roman" w:cstheme="minorHAnsi"/>
          <w:sz w:val="28"/>
          <w:szCs w:val="28"/>
          <w:lang w:val="fr-FR" w:eastAsia="fr-LU"/>
        </w:rPr>
        <w:t xml:space="preserve"> doit contenir les informations suivantes :</w:t>
      </w:r>
    </w:p>
    <w:p w14:paraId="32FC6062" w14:textId="3198BFA2" w:rsidR="00A05A9E" w:rsidRPr="00551554" w:rsidRDefault="00551554" w:rsidP="00D0316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val="fr-FR" w:eastAsia="fr-LU"/>
        </w:rPr>
      </w:pPr>
      <w:r w:rsidRPr="00551554">
        <w:rPr>
          <w:rFonts w:eastAsia="Times New Roman" w:cstheme="minorHAnsi"/>
          <w:sz w:val="28"/>
          <w:szCs w:val="28"/>
          <w:lang w:val="fr-FR" w:eastAsia="fr-LU"/>
        </w:rPr>
        <w:t>Les raisons du recours au PTMO</w:t>
      </w:r>
    </w:p>
    <w:p w14:paraId="2D12D14E" w14:textId="29A22D33" w:rsidR="00A05A9E" w:rsidRDefault="00551554" w:rsidP="00D0316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val="fr-FR" w:eastAsia="fr-LU"/>
        </w:rPr>
      </w:pPr>
      <w:r>
        <w:rPr>
          <w:rFonts w:eastAsia="Times New Roman" w:cstheme="minorHAnsi"/>
          <w:sz w:val="28"/>
          <w:szCs w:val="28"/>
          <w:lang w:val="fr-FR" w:eastAsia="fr-LU"/>
        </w:rPr>
        <w:t>Le nombre de salariés concernés</w:t>
      </w:r>
    </w:p>
    <w:p w14:paraId="76683583" w14:textId="578D0D47" w:rsidR="00551554" w:rsidRDefault="00551554" w:rsidP="00D0316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val="fr-FR" w:eastAsia="fr-LU"/>
        </w:rPr>
      </w:pPr>
      <w:r>
        <w:rPr>
          <w:rFonts w:eastAsia="Times New Roman" w:cstheme="minorHAnsi"/>
          <w:sz w:val="28"/>
          <w:szCs w:val="28"/>
          <w:lang w:val="fr-FR" w:eastAsia="fr-LU"/>
        </w:rPr>
        <w:t>La durée du PTMO</w:t>
      </w:r>
    </w:p>
    <w:p w14:paraId="03E6E744" w14:textId="4D4818FC" w:rsidR="00551554" w:rsidRDefault="00551554" w:rsidP="00D0316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val="fr-FR" w:eastAsia="fr-LU"/>
        </w:rPr>
      </w:pPr>
      <w:r>
        <w:rPr>
          <w:rFonts w:eastAsia="Times New Roman" w:cstheme="minorHAnsi"/>
          <w:sz w:val="28"/>
          <w:szCs w:val="28"/>
          <w:lang w:val="fr-FR" w:eastAsia="fr-LU"/>
        </w:rPr>
        <w:t>L’accord écrit des deux délégations de personnel (entreprise d’origine + entreprise utilisatrice), sinon l’accord écrit du salarié (Entreprise &lt; 15 salarié</w:t>
      </w:r>
      <w:r w:rsidR="00904E80">
        <w:rPr>
          <w:rFonts w:eastAsia="Times New Roman" w:cstheme="minorHAnsi"/>
          <w:sz w:val="28"/>
          <w:szCs w:val="28"/>
          <w:lang w:val="fr-FR" w:eastAsia="fr-LU"/>
        </w:rPr>
        <w:t>s</w:t>
      </w:r>
      <w:r>
        <w:rPr>
          <w:rFonts w:eastAsia="Times New Roman" w:cstheme="minorHAnsi"/>
          <w:sz w:val="28"/>
          <w:szCs w:val="28"/>
          <w:lang w:val="fr-FR" w:eastAsia="fr-LU"/>
        </w:rPr>
        <w:t>)</w:t>
      </w:r>
    </w:p>
    <w:p w14:paraId="486A17D7" w14:textId="77777777" w:rsidR="00B90443" w:rsidRPr="00A05A9E" w:rsidRDefault="00B90443" w:rsidP="00B90443">
      <w:pPr>
        <w:pStyle w:val="Paragraphedeliste"/>
        <w:spacing w:before="100" w:beforeAutospacing="1" w:after="100" w:afterAutospacing="1" w:line="240" w:lineRule="auto"/>
        <w:ind w:left="1080"/>
        <w:jc w:val="both"/>
        <w:rPr>
          <w:rFonts w:eastAsia="Times New Roman" w:cstheme="minorHAnsi"/>
          <w:sz w:val="28"/>
          <w:szCs w:val="28"/>
          <w:lang w:val="fr-FR" w:eastAsia="fr-LU"/>
        </w:rPr>
      </w:pPr>
    </w:p>
    <w:p w14:paraId="4B47F46D" w14:textId="39B3D74F" w:rsidR="00412536" w:rsidRDefault="00412536" w:rsidP="005677A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val="de-CH"/>
        </w:rPr>
      </w:pPr>
      <w:proofErr w:type="spellStart"/>
      <w:r>
        <w:rPr>
          <w:b/>
          <w:bCs/>
          <w:sz w:val="28"/>
          <w:szCs w:val="28"/>
          <w:lang w:val="de-CH"/>
        </w:rPr>
        <w:t>Responsabilité</w:t>
      </w:r>
      <w:proofErr w:type="spellEnd"/>
      <w:r>
        <w:rPr>
          <w:b/>
          <w:bCs/>
          <w:sz w:val="28"/>
          <w:szCs w:val="28"/>
          <w:lang w:val="de-CH"/>
        </w:rPr>
        <w:t xml:space="preserve"> d</w:t>
      </w:r>
      <w:r w:rsidR="006F3FBD">
        <w:rPr>
          <w:b/>
          <w:bCs/>
          <w:sz w:val="28"/>
          <w:szCs w:val="28"/>
          <w:lang w:val="de-CH"/>
        </w:rPr>
        <w:t xml:space="preserve">u </w:t>
      </w:r>
      <w:proofErr w:type="spellStart"/>
      <w:r w:rsidR="006F3FBD">
        <w:rPr>
          <w:b/>
          <w:bCs/>
          <w:sz w:val="28"/>
          <w:szCs w:val="28"/>
          <w:lang w:val="de-CH"/>
        </w:rPr>
        <w:t>Prêteur</w:t>
      </w:r>
      <w:proofErr w:type="spellEnd"/>
      <w:r w:rsidR="00A05A9E">
        <w:rPr>
          <w:b/>
          <w:bCs/>
          <w:sz w:val="28"/>
          <w:szCs w:val="28"/>
          <w:lang w:val="de-CH"/>
        </w:rPr>
        <w:t xml:space="preserve"> </w:t>
      </w:r>
    </w:p>
    <w:p w14:paraId="04DB2851" w14:textId="77777777" w:rsidR="00412536" w:rsidRDefault="00412536" w:rsidP="00412536">
      <w:pPr>
        <w:pStyle w:val="Paragraphedeliste"/>
        <w:rPr>
          <w:b/>
          <w:bCs/>
          <w:sz w:val="28"/>
          <w:szCs w:val="28"/>
          <w:lang w:val="de-CH"/>
        </w:rPr>
      </w:pPr>
    </w:p>
    <w:p w14:paraId="1A59FC27" w14:textId="2699DA95" w:rsidR="00412536" w:rsidRPr="006F3FBD" w:rsidRDefault="00412536" w:rsidP="006F3FBD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B26341">
        <w:rPr>
          <w:sz w:val="28"/>
          <w:szCs w:val="28"/>
        </w:rPr>
        <w:t xml:space="preserve">Le </w:t>
      </w:r>
      <w:r w:rsidR="004F3AF2" w:rsidRPr="00B26341">
        <w:rPr>
          <w:sz w:val="28"/>
          <w:szCs w:val="28"/>
        </w:rPr>
        <w:t>P</w:t>
      </w:r>
      <w:r w:rsidRPr="00B26341">
        <w:rPr>
          <w:sz w:val="28"/>
          <w:szCs w:val="28"/>
        </w:rPr>
        <w:t>rêteur reste employeur des salariés</w:t>
      </w:r>
    </w:p>
    <w:p w14:paraId="1EB21E8E" w14:textId="77DA337E" w:rsidR="0066693B" w:rsidRPr="00B26341" w:rsidRDefault="006F3FBD" w:rsidP="0086366D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prêteur </w:t>
      </w:r>
      <w:r w:rsidR="0066693B" w:rsidRPr="00B26341">
        <w:rPr>
          <w:sz w:val="28"/>
          <w:szCs w:val="28"/>
        </w:rPr>
        <w:t>est seul responsable</w:t>
      </w:r>
      <w:r>
        <w:rPr>
          <w:sz w:val="28"/>
          <w:szCs w:val="28"/>
        </w:rPr>
        <w:t xml:space="preserve"> du salaire du salarié faisant l’objet d’un PTMO ainsi que</w:t>
      </w:r>
      <w:r w:rsidR="0066693B" w:rsidRPr="00B26341">
        <w:rPr>
          <w:sz w:val="28"/>
          <w:szCs w:val="28"/>
        </w:rPr>
        <w:t xml:space="preserve"> des charges sociales et fiscales s</w:t>
      </w:r>
      <w:r>
        <w:rPr>
          <w:sz w:val="28"/>
          <w:szCs w:val="28"/>
        </w:rPr>
        <w:t>’y rapportant</w:t>
      </w:r>
    </w:p>
    <w:p w14:paraId="557970E2" w14:textId="328296A7" w:rsidR="00412536" w:rsidRPr="00B26341" w:rsidRDefault="00412536" w:rsidP="0086366D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B26341">
        <w:rPr>
          <w:sz w:val="28"/>
          <w:szCs w:val="28"/>
        </w:rPr>
        <w:t>Les salariés conservent l’intégralité de leurs droits issus du contrat et de la convention collective</w:t>
      </w:r>
    </w:p>
    <w:p w14:paraId="6BF845DD" w14:textId="77777777" w:rsidR="00412536" w:rsidRPr="00412536" w:rsidRDefault="00412536" w:rsidP="00412536">
      <w:pPr>
        <w:pStyle w:val="Paragraphedeliste"/>
        <w:ind w:left="1080"/>
        <w:rPr>
          <w:sz w:val="28"/>
          <w:szCs w:val="28"/>
        </w:rPr>
      </w:pPr>
    </w:p>
    <w:p w14:paraId="3C9DC7E9" w14:textId="1DFB5798" w:rsidR="00412536" w:rsidRDefault="00412536" w:rsidP="005677A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val="de-CH"/>
        </w:rPr>
      </w:pPr>
      <w:proofErr w:type="spellStart"/>
      <w:r>
        <w:rPr>
          <w:b/>
          <w:bCs/>
          <w:sz w:val="28"/>
          <w:szCs w:val="28"/>
          <w:lang w:val="de-CH"/>
        </w:rPr>
        <w:t>Responsabilité</w:t>
      </w:r>
      <w:proofErr w:type="spellEnd"/>
      <w:r>
        <w:rPr>
          <w:b/>
          <w:bCs/>
          <w:sz w:val="28"/>
          <w:szCs w:val="28"/>
          <w:lang w:val="de-CH"/>
        </w:rPr>
        <w:t xml:space="preserve"> de </w:t>
      </w:r>
      <w:proofErr w:type="spellStart"/>
      <w:r>
        <w:rPr>
          <w:b/>
          <w:bCs/>
          <w:sz w:val="28"/>
          <w:szCs w:val="28"/>
          <w:lang w:val="de-CH"/>
        </w:rPr>
        <w:t>l’Utilisateur</w:t>
      </w:r>
      <w:proofErr w:type="spellEnd"/>
    </w:p>
    <w:p w14:paraId="3D14B387" w14:textId="77777777" w:rsidR="0086366D" w:rsidRDefault="0086366D" w:rsidP="0086366D">
      <w:pPr>
        <w:pStyle w:val="Paragraphedeliste"/>
        <w:rPr>
          <w:b/>
          <w:bCs/>
          <w:sz w:val="28"/>
          <w:szCs w:val="28"/>
          <w:lang w:val="de-CH"/>
        </w:rPr>
      </w:pPr>
    </w:p>
    <w:p w14:paraId="27EFDD8F" w14:textId="4293A22F" w:rsidR="00B90443" w:rsidRDefault="00B90443" w:rsidP="00B90443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B90443">
        <w:rPr>
          <w:sz w:val="28"/>
          <w:szCs w:val="28"/>
        </w:rPr>
        <w:t>Les salariés se trouvent placés sous l’autorité directe du personnel d’encadrement de l’utilisateur et sont soumis à la discipline de cette entreprise</w:t>
      </w:r>
    </w:p>
    <w:p w14:paraId="3911F4B7" w14:textId="77777777" w:rsidR="00B90443" w:rsidRPr="00B90443" w:rsidRDefault="00B90443" w:rsidP="00B90443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B90443">
        <w:rPr>
          <w:sz w:val="28"/>
          <w:szCs w:val="28"/>
        </w:rPr>
        <w:lastRenderedPageBreak/>
        <w:t>L’utilisateur met à disposition des salariés tous les outils</w:t>
      </w:r>
      <w:r>
        <w:rPr>
          <w:sz w:val="28"/>
          <w:szCs w:val="28"/>
        </w:rPr>
        <w:t xml:space="preserve"> de travail</w:t>
      </w:r>
      <w:r w:rsidRPr="00B90443">
        <w:rPr>
          <w:sz w:val="28"/>
          <w:szCs w:val="28"/>
        </w:rPr>
        <w:t xml:space="preserve"> et moyens nécessaires au bon exercice de la tâche qui lui sera confiée</w:t>
      </w:r>
    </w:p>
    <w:p w14:paraId="443044F6" w14:textId="7036D5BA" w:rsidR="00B90443" w:rsidRDefault="00B90443" w:rsidP="00B90443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B90443">
        <w:rPr>
          <w:sz w:val="28"/>
          <w:szCs w:val="28"/>
        </w:rPr>
        <w:t xml:space="preserve">L’utilisateur définit les tâches et l’organisation du travail des salariés. Il contrôle l’exécution du travail fourni </w:t>
      </w:r>
      <w:r>
        <w:rPr>
          <w:sz w:val="28"/>
          <w:szCs w:val="28"/>
        </w:rPr>
        <w:t>par les</w:t>
      </w:r>
      <w:r w:rsidRPr="00B90443">
        <w:rPr>
          <w:sz w:val="28"/>
          <w:szCs w:val="28"/>
        </w:rPr>
        <w:t xml:space="preserve"> salariés</w:t>
      </w:r>
    </w:p>
    <w:p w14:paraId="30759914" w14:textId="77777777" w:rsidR="00B90443" w:rsidRDefault="00B90443" w:rsidP="00B90443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B26341">
        <w:rPr>
          <w:sz w:val="28"/>
          <w:szCs w:val="28"/>
        </w:rPr>
        <w:t xml:space="preserve">L’utilisateur </w:t>
      </w:r>
      <w:r>
        <w:rPr>
          <w:sz w:val="28"/>
          <w:szCs w:val="28"/>
        </w:rPr>
        <w:t>est</w:t>
      </w:r>
      <w:r w:rsidRPr="00B26341">
        <w:rPr>
          <w:sz w:val="28"/>
          <w:szCs w:val="28"/>
        </w:rPr>
        <w:t xml:space="preserve"> pendant la </w:t>
      </w:r>
      <w:r>
        <w:rPr>
          <w:sz w:val="28"/>
          <w:szCs w:val="28"/>
        </w:rPr>
        <w:t>mission des salariés faisant l’objet d’un PTMO</w:t>
      </w:r>
      <w:r w:rsidRPr="00B26341">
        <w:rPr>
          <w:sz w:val="28"/>
          <w:szCs w:val="28"/>
        </w:rPr>
        <w:t xml:space="preserve"> seul responsable</w:t>
      </w:r>
      <w:r>
        <w:rPr>
          <w:sz w:val="28"/>
          <w:szCs w:val="28"/>
        </w:rPr>
        <w:t xml:space="preserve"> </w:t>
      </w:r>
    </w:p>
    <w:p w14:paraId="5D629DAB" w14:textId="7147223D" w:rsidR="00B90443" w:rsidRDefault="00B90443" w:rsidP="00B90443">
      <w:pPr>
        <w:pStyle w:val="Paragraphedelist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B26341">
        <w:rPr>
          <w:sz w:val="28"/>
          <w:szCs w:val="28"/>
        </w:rPr>
        <w:t>u respect des conditions de sécurité, d’hygiène et de santé au travail</w:t>
      </w:r>
    </w:p>
    <w:p w14:paraId="62E7DFA9" w14:textId="1F8EB568" w:rsidR="00B90443" w:rsidRPr="00B90443" w:rsidRDefault="00575771" w:rsidP="00B90443">
      <w:pPr>
        <w:pStyle w:val="Paragraphedelist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B90443">
        <w:rPr>
          <w:sz w:val="28"/>
          <w:szCs w:val="28"/>
        </w:rPr>
        <w:t>e l’application à ces salariés des dispositions légales, réglementaires, administratives et conventionnelles relatives aux conditions de travail et à la protection des salariés dans l’exercice de leur profession</w:t>
      </w:r>
    </w:p>
    <w:p w14:paraId="48C97D72" w14:textId="3129B41F" w:rsidR="001D3937" w:rsidRDefault="001D3937" w:rsidP="0086366D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Les salariés mis à disposition ont accès dans l’entreprise utilisatrice dans les mêmes conditions que les salariés permanents de cette entreprise aux installations collectives notamment de restauration et aux mo</w:t>
      </w:r>
      <w:r w:rsidR="009428F2">
        <w:rPr>
          <w:sz w:val="28"/>
          <w:szCs w:val="28"/>
        </w:rPr>
        <w:t>y</w:t>
      </w:r>
      <w:r>
        <w:rPr>
          <w:sz w:val="28"/>
          <w:szCs w:val="28"/>
        </w:rPr>
        <w:t>ens de transport dont peuvent bénéficier ces salariés</w:t>
      </w:r>
    </w:p>
    <w:p w14:paraId="65EBCDC5" w14:textId="77777777" w:rsidR="00B90443" w:rsidRPr="00B90443" w:rsidRDefault="00B90443" w:rsidP="00B90443">
      <w:pPr>
        <w:pStyle w:val="Paragraphedeliste"/>
        <w:ind w:left="1080"/>
        <w:jc w:val="both"/>
        <w:rPr>
          <w:sz w:val="28"/>
          <w:szCs w:val="28"/>
        </w:rPr>
      </w:pPr>
    </w:p>
    <w:p w14:paraId="08EA37AC" w14:textId="3E1A3E97" w:rsidR="00AD72EE" w:rsidRDefault="00AD72EE" w:rsidP="005677A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AD72EE">
        <w:rPr>
          <w:b/>
          <w:bCs/>
          <w:sz w:val="28"/>
          <w:szCs w:val="28"/>
        </w:rPr>
        <w:t>Facturation de la mise à disposition</w:t>
      </w:r>
    </w:p>
    <w:p w14:paraId="499E52DF" w14:textId="77777777" w:rsidR="00AD72EE" w:rsidRPr="00AD72EE" w:rsidRDefault="00AD72EE" w:rsidP="00AD72EE">
      <w:pPr>
        <w:pStyle w:val="Paragraphedeliste"/>
        <w:rPr>
          <w:b/>
          <w:bCs/>
          <w:sz w:val="28"/>
          <w:szCs w:val="28"/>
        </w:rPr>
      </w:pPr>
    </w:p>
    <w:p w14:paraId="7858E945" w14:textId="455EF779" w:rsidR="00AD72EE" w:rsidRPr="00192F86" w:rsidRDefault="00AD72EE" w:rsidP="0086366D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192F86">
        <w:rPr>
          <w:sz w:val="28"/>
          <w:szCs w:val="28"/>
        </w:rPr>
        <w:t>L’utilisateur remboursera au Prêteur, sur présentation d’une facturation mensuelle</w:t>
      </w:r>
    </w:p>
    <w:p w14:paraId="6C2EFB0E" w14:textId="4F09D1B0" w:rsidR="00AD72EE" w:rsidRPr="00192F86" w:rsidRDefault="00AD72EE" w:rsidP="00AD72EE">
      <w:pPr>
        <w:pStyle w:val="Paragraphedeliste"/>
        <w:numPr>
          <w:ilvl w:val="1"/>
          <w:numId w:val="2"/>
        </w:numPr>
        <w:jc w:val="both"/>
        <w:rPr>
          <w:sz w:val="28"/>
          <w:szCs w:val="28"/>
        </w:rPr>
      </w:pPr>
      <w:r w:rsidRPr="00192F86">
        <w:rPr>
          <w:sz w:val="28"/>
          <w:szCs w:val="28"/>
        </w:rPr>
        <w:t>Les salaires, primes, suppléments, majorations et avantages individuels</w:t>
      </w:r>
    </w:p>
    <w:p w14:paraId="3872BB9F" w14:textId="1D9E73C3" w:rsidR="00AD72EE" w:rsidRPr="00192F86" w:rsidRDefault="00AD72EE" w:rsidP="00AD72EE">
      <w:pPr>
        <w:pStyle w:val="Paragraphedeliste"/>
        <w:numPr>
          <w:ilvl w:val="1"/>
          <w:numId w:val="2"/>
        </w:numPr>
        <w:jc w:val="both"/>
        <w:rPr>
          <w:sz w:val="28"/>
          <w:szCs w:val="28"/>
        </w:rPr>
      </w:pPr>
      <w:r w:rsidRPr="00192F86">
        <w:rPr>
          <w:sz w:val="28"/>
          <w:szCs w:val="28"/>
        </w:rPr>
        <w:t>Les congés payés afférents à la période de prêt</w:t>
      </w:r>
    </w:p>
    <w:p w14:paraId="406AE565" w14:textId="6B7756D1" w:rsidR="00AD72EE" w:rsidRPr="00192F86" w:rsidRDefault="00AD72EE" w:rsidP="00AD72EE">
      <w:pPr>
        <w:pStyle w:val="Paragraphedeliste"/>
        <w:numPr>
          <w:ilvl w:val="1"/>
          <w:numId w:val="2"/>
        </w:numPr>
        <w:jc w:val="both"/>
        <w:rPr>
          <w:sz w:val="28"/>
          <w:szCs w:val="28"/>
        </w:rPr>
      </w:pPr>
      <w:r w:rsidRPr="00192F86">
        <w:rPr>
          <w:sz w:val="28"/>
          <w:szCs w:val="28"/>
        </w:rPr>
        <w:t>Les taxes et charges sociales patronales</w:t>
      </w:r>
    </w:p>
    <w:p w14:paraId="315D4CC5" w14:textId="65E3EE3B" w:rsidR="00AD72EE" w:rsidRPr="00192F86" w:rsidRDefault="00AD72EE" w:rsidP="00AD72EE">
      <w:pPr>
        <w:pStyle w:val="Paragraphedeliste"/>
        <w:numPr>
          <w:ilvl w:val="1"/>
          <w:numId w:val="2"/>
        </w:numPr>
        <w:jc w:val="both"/>
        <w:rPr>
          <w:sz w:val="28"/>
          <w:szCs w:val="28"/>
        </w:rPr>
      </w:pPr>
      <w:r w:rsidRPr="00AD72EE">
        <w:rPr>
          <w:sz w:val="28"/>
          <w:szCs w:val="28"/>
        </w:rPr>
        <w:t>Le remboursement des</w:t>
      </w:r>
      <w:r>
        <w:rPr>
          <w:b/>
          <w:bCs/>
          <w:sz w:val="28"/>
          <w:szCs w:val="28"/>
        </w:rPr>
        <w:t xml:space="preserve"> </w:t>
      </w:r>
      <w:r w:rsidRPr="00192F86">
        <w:rPr>
          <w:sz w:val="28"/>
          <w:szCs w:val="28"/>
        </w:rPr>
        <w:t>frais professionnels</w:t>
      </w:r>
    </w:p>
    <w:p w14:paraId="39AA6A7B" w14:textId="2DF11F5C" w:rsidR="003B2D9E" w:rsidRPr="00192F86" w:rsidRDefault="003B2D9E" w:rsidP="00EA76C4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192F86">
        <w:rPr>
          <w:sz w:val="28"/>
          <w:szCs w:val="28"/>
        </w:rPr>
        <w:t>Les montants remboursés pour toute incapacité de travail des salariés sont à mettre au crédit des factures adressées à l’Utilisateur</w:t>
      </w:r>
    </w:p>
    <w:p w14:paraId="38AFDB0F" w14:textId="77777777" w:rsidR="00275675" w:rsidRDefault="00275675" w:rsidP="00275675">
      <w:pPr>
        <w:pStyle w:val="Paragraphedeliste"/>
        <w:ind w:left="1080"/>
        <w:jc w:val="both"/>
        <w:rPr>
          <w:b/>
          <w:bCs/>
          <w:sz w:val="28"/>
          <w:szCs w:val="28"/>
        </w:rPr>
      </w:pPr>
    </w:p>
    <w:p w14:paraId="71F8E8C7" w14:textId="7C1F6E3B" w:rsidR="009E1174" w:rsidRDefault="00A05A9E" w:rsidP="00A05A9E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75771">
        <w:rPr>
          <w:b/>
          <w:bCs/>
          <w:sz w:val="28"/>
          <w:szCs w:val="28"/>
        </w:rPr>
        <w:t xml:space="preserve">Nullité du contrat </w:t>
      </w:r>
      <w:r w:rsidR="00575771" w:rsidRPr="00575771">
        <w:rPr>
          <w:b/>
          <w:bCs/>
          <w:sz w:val="28"/>
          <w:szCs w:val="28"/>
        </w:rPr>
        <w:t>de</w:t>
      </w:r>
      <w:r w:rsidRPr="00575771">
        <w:rPr>
          <w:b/>
          <w:bCs/>
          <w:sz w:val="28"/>
          <w:szCs w:val="28"/>
        </w:rPr>
        <w:t xml:space="preserve"> PTMO</w:t>
      </w:r>
    </w:p>
    <w:p w14:paraId="25C71CC4" w14:textId="77777777" w:rsidR="00E271A6" w:rsidRDefault="00E271A6" w:rsidP="00E271A6">
      <w:pPr>
        <w:pStyle w:val="Paragraphedeliste"/>
        <w:jc w:val="both"/>
        <w:rPr>
          <w:b/>
          <w:bCs/>
          <w:sz w:val="28"/>
          <w:szCs w:val="28"/>
        </w:rPr>
      </w:pPr>
    </w:p>
    <w:p w14:paraId="6B3AD406" w14:textId="156BC077" w:rsidR="00575771" w:rsidRDefault="00575771" w:rsidP="0057577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575771">
        <w:rPr>
          <w:sz w:val="28"/>
          <w:szCs w:val="28"/>
        </w:rPr>
        <w:t xml:space="preserve">Le contrat de travail </w:t>
      </w:r>
      <w:r>
        <w:rPr>
          <w:sz w:val="28"/>
          <w:szCs w:val="28"/>
        </w:rPr>
        <w:t>par lequel un salarié a été engagé pour être mis à la disposition d’un utilisateur en violation des dispositions légales est nul</w:t>
      </w:r>
    </w:p>
    <w:p w14:paraId="1D47683A" w14:textId="232AF4D9" w:rsidR="00575771" w:rsidRDefault="00575771" w:rsidP="0057577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Dans ce cas, l’utilisateur et le salarié sont considérés comme engagés dans les liens d’un contrat de travail à durée indéterminée dès le commencement de la prestation de travail du salarié</w:t>
      </w:r>
    </w:p>
    <w:p w14:paraId="1090EA6B" w14:textId="2990967A" w:rsidR="00575771" w:rsidRPr="00575771" w:rsidRDefault="00575771" w:rsidP="0057577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Toutefois, le salarié peut mettre fin au contrat sans préavis ni indemnité jusqu’à la cession de la mise à disposition de l’utilisateur</w:t>
      </w:r>
    </w:p>
    <w:p w14:paraId="28E4561A" w14:textId="77777777" w:rsidR="009E1174" w:rsidRDefault="009E1174" w:rsidP="009E1174">
      <w:pPr>
        <w:jc w:val="both"/>
        <w:rPr>
          <w:b/>
          <w:bCs/>
          <w:sz w:val="28"/>
          <w:szCs w:val="28"/>
        </w:rPr>
      </w:pPr>
    </w:p>
    <w:p w14:paraId="403965A6" w14:textId="77777777" w:rsidR="009E1174" w:rsidRDefault="009E1174" w:rsidP="009E1174">
      <w:pPr>
        <w:jc w:val="both"/>
        <w:rPr>
          <w:b/>
          <w:bCs/>
          <w:sz w:val="28"/>
          <w:szCs w:val="28"/>
        </w:rPr>
      </w:pPr>
    </w:p>
    <w:p w14:paraId="36639A60" w14:textId="77777777" w:rsidR="009E1174" w:rsidRPr="009E1174" w:rsidRDefault="009E1174" w:rsidP="009E1174">
      <w:pPr>
        <w:jc w:val="both"/>
        <w:rPr>
          <w:b/>
          <w:bCs/>
          <w:sz w:val="28"/>
          <w:szCs w:val="28"/>
        </w:rPr>
      </w:pPr>
    </w:p>
    <w:p w14:paraId="370CF8B6" w14:textId="77777777" w:rsidR="005677A5" w:rsidRDefault="005677A5" w:rsidP="005677A5">
      <w:pPr>
        <w:pStyle w:val="Paragraphedeliste"/>
        <w:ind w:left="1080"/>
        <w:jc w:val="both"/>
        <w:rPr>
          <w:b/>
          <w:bCs/>
          <w:sz w:val="28"/>
          <w:szCs w:val="28"/>
        </w:rPr>
      </w:pPr>
    </w:p>
    <w:p w14:paraId="59E19044" w14:textId="77777777" w:rsidR="000413ED" w:rsidRDefault="000413ED" w:rsidP="005677A5">
      <w:pPr>
        <w:pStyle w:val="Paragraphedeliste"/>
        <w:ind w:left="1080"/>
        <w:jc w:val="both"/>
        <w:rPr>
          <w:b/>
          <w:bCs/>
          <w:sz w:val="28"/>
          <w:szCs w:val="28"/>
        </w:rPr>
      </w:pPr>
    </w:p>
    <w:p w14:paraId="6B9F278A" w14:textId="77777777" w:rsidR="000413ED" w:rsidRDefault="000413ED" w:rsidP="005677A5">
      <w:pPr>
        <w:pStyle w:val="Paragraphedeliste"/>
        <w:ind w:left="1080"/>
        <w:jc w:val="both"/>
        <w:rPr>
          <w:b/>
          <w:bCs/>
          <w:sz w:val="28"/>
          <w:szCs w:val="28"/>
        </w:rPr>
      </w:pPr>
    </w:p>
    <w:p w14:paraId="0C9A64A2" w14:textId="77777777" w:rsidR="000413ED" w:rsidRDefault="000413ED" w:rsidP="005677A5">
      <w:pPr>
        <w:pStyle w:val="Paragraphedeliste"/>
        <w:ind w:left="1080"/>
        <w:jc w:val="both"/>
        <w:rPr>
          <w:b/>
          <w:bCs/>
          <w:sz w:val="28"/>
          <w:szCs w:val="28"/>
        </w:rPr>
      </w:pPr>
    </w:p>
    <w:p w14:paraId="73688A66" w14:textId="77777777" w:rsidR="000413ED" w:rsidRDefault="000413ED" w:rsidP="005677A5">
      <w:pPr>
        <w:pStyle w:val="Paragraphedeliste"/>
        <w:ind w:left="1080"/>
        <w:jc w:val="both"/>
        <w:rPr>
          <w:b/>
          <w:bCs/>
          <w:sz w:val="28"/>
          <w:szCs w:val="28"/>
        </w:rPr>
      </w:pPr>
    </w:p>
    <w:p w14:paraId="65975269" w14:textId="77777777" w:rsidR="000413ED" w:rsidRDefault="000413ED" w:rsidP="005677A5">
      <w:pPr>
        <w:pStyle w:val="Paragraphedeliste"/>
        <w:ind w:left="1080"/>
        <w:jc w:val="both"/>
        <w:rPr>
          <w:b/>
          <w:bCs/>
          <w:sz w:val="28"/>
          <w:szCs w:val="28"/>
        </w:rPr>
      </w:pPr>
    </w:p>
    <w:p w14:paraId="6183F93C" w14:textId="77777777" w:rsidR="000413ED" w:rsidRDefault="000413ED" w:rsidP="005677A5">
      <w:pPr>
        <w:pStyle w:val="Paragraphedeliste"/>
        <w:ind w:left="1080"/>
        <w:jc w:val="both"/>
        <w:rPr>
          <w:b/>
          <w:bCs/>
          <w:sz w:val="28"/>
          <w:szCs w:val="28"/>
        </w:rPr>
      </w:pPr>
    </w:p>
    <w:p w14:paraId="7A546E23" w14:textId="77777777" w:rsidR="000413ED" w:rsidRDefault="000413ED" w:rsidP="005677A5">
      <w:pPr>
        <w:pStyle w:val="Paragraphedeliste"/>
        <w:ind w:left="1080"/>
        <w:jc w:val="both"/>
        <w:rPr>
          <w:b/>
          <w:bCs/>
          <w:sz w:val="28"/>
          <w:szCs w:val="28"/>
        </w:rPr>
      </w:pPr>
    </w:p>
    <w:p w14:paraId="187C7905" w14:textId="77777777" w:rsidR="000413ED" w:rsidRDefault="000413ED" w:rsidP="005677A5">
      <w:pPr>
        <w:pStyle w:val="Paragraphedeliste"/>
        <w:ind w:left="1080"/>
        <w:jc w:val="both"/>
        <w:rPr>
          <w:b/>
          <w:bCs/>
          <w:sz w:val="28"/>
          <w:szCs w:val="28"/>
        </w:rPr>
      </w:pPr>
    </w:p>
    <w:p w14:paraId="546A736D" w14:textId="77777777" w:rsidR="000413ED" w:rsidRDefault="000413ED" w:rsidP="005677A5">
      <w:pPr>
        <w:pStyle w:val="Paragraphedeliste"/>
        <w:ind w:left="1080"/>
        <w:jc w:val="both"/>
        <w:rPr>
          <w:b/>
          <w:bCs/>
          <w:sz w:val="28"/>
          <w:szCs w:val="28"/>
        </w:rPr>
      </w:pPr>
    </w:p>
    <w:p w14:paraId="75B13268" w14:textId="77777777" w:rsidR="000413ED" w:rsidRDefault="000413ED" w:rsidP="005677A5">
      <w:pPr>
        <w:pStyle w:val="Paragraphedeliste"/>
        <w:ind w:left="1080"/>
        <w:jc w:val="both"/>
        <w:rPr>
          <w:b/>
          <w:bCs/>
          <w:sz w:val="28"/>
          <w:szCs w:val="28"/>
        </w:rPr>
      </w:pPr>
    </w:p>
    <w:p w14:paraId="3B01F531" w14:textId="77777777" w:rsidR="000413ED" w:rsidRDefault="000413ED" w:rsidP="005677A5">
      <w:pPr>
        <w:pStyle w:val="Paragraphedeliste"/>
        <w:ind w:left="1080"/>
        <w:jc w:val="both"/>
        <w:rPr>
          <w:b/>
          <w:bCs/>
          <w:sz w:val="28"/>
          <w:szCs w:val="28"/>
        </w:rPr>
      </w:pPr>
    </w:p>
    <w:p w14:paraId="7FD2CA47" w14:textId="77777777" w:rsidR="000413ED" w:rsidRDefault="000413ED" w:rsidP="005677A5">
      <w:pPr>
        <w:pStyle w:val="Paragraphedeliste"/>
        <w:ind w:left="1080"/>
        <w:jc w:val="both"/>
        <w:rPr>
          <w:b/>
          <w:bCs/>
          <w:sz w:val="28"/>
          <w:szCs w:val="28"/>
        </w:rPr>
      </w:pPr>
    </w:p>
    <w:sectPr w:rsidR="000413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EE8F" w14:textId="77777777" w:rsidR="00703611" w:rsidRDefault="00703611" w:rsidP="00703611">
      <w:pPr>
        <w:spacing w:after="0" w:line="240" w:lineRule="auto"/>
      </w:pPr>
      <w:r>
        <w:separator/>
      </w:r>
    </w:p>
  </w:endnote>
  <w:endnote w:type="continuationSeparator" w:id="0">
    <w:p w14:paraId="1ABAC7BD" w14:textId="77777777" w:rsidR="00703611" w:rsidRDefault="00703611" w:rsidP="0070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5C51" w14:textId="77777777" w:rsidR="00703611" w:rsidRDefault="00703611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fr-FR"/>
      </w:rPr>
      <w:t>2</w:t>
    </w:r>
    <w:r>
      <w:rPr>
        <w:caps/>
        <w:color w:val="4472C4" w:themeColor="accent1"/>
      </w:rPr>
      <w:fldChar w:fldCharType="end"/>
    </w:r>
  </w:p>
  <w:p w14:paraId="1D5E3E2E" w14:textId="77777777" w:rsidR="00703611" w:rsidRDefault="007036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E331" w14:textId="77777777" w:rsidR="00703611" w:rsidRDefault="00703611" w:rsidP="00703611">
      <w:pPr>
        <w:spacing w:after="0" w:line="240" w:lineRule="auto"/>
      </w:pPr>
      <w:r>
        <w:separator/>
      </w:r>
    </w:p>
  </w:footnote>
  <w:footnote w:type="continuationSeparator" w:id="0">
    <w:p w14:paraId="0DD92FC5" w14:textId="77777777" w:rsidR="00703611" w:rsidRDefault="00703611" w:rsidP="00703611">
      <w:pPr>
        <w:spacing w:after="0" w:line="240" w:lineRule="auto"/>
      </w:pPr>
      <w:r>
        <w:continuationSeparator/>
      </w:r>
    </w:p>
  </w:footnote>
  <w:footnote w:id="1">
    <w:p w14:paraId="740A1752" w14:textId="5668D418" w:rsidR="00904E80" w:rsidRPr="00904E80" w:rsidRDefault="00904E80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Il a été convenu avec l’ADEM, afin d’accélérer la demande d’autorisation du PTMO, que l’ADEM avise directement la demande et la fasse parvenir au ministère du Travail et de l’Emploi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2FB"/>
    <w:multiLevelType w:val="hybridMultilevel"/>
    <w:tmpl w:val="6A466AC6"/>
    <w:lvl w:ilvl="0" w:tplc="9BA477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74D73"/>
    <w:multiLevelType w:val="multilevel"/>
    <w:tmpl w:val="D92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F7D6C"/>
    <w:multiLevelType w:val="hybridMultilevel"/>
    <w:tmpl w:val="7932D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6694C"/>
    <w:multiLevelType w:val="hybridMultilevel"/>
    <w:tmpl w:val="7932D0D4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0530B"/>
    <w:multiLevelType w:val="multilevel"/>
    <w:tmpl w:val="2CB0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A78C9"/>
    <w:multiLevelType w:val="multilevel"/>
    <w:tmpl w:val="D6D439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E50BA"/>
    <w:multiLevelType w:val="multilevel"/>
    <w:tmpl w:val="72E8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33490D"/>
    <w:multiLevelType w:val="hybridMultilevel"/>
    <w:tmpl w:val="730C1F22"/>
    <w:lvl w:ilvl="0" w:tplc="95B262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077009">
    <w:abstractNumId w:val="3"/>
  </w:num>
  <w:num w:numId="2" w16cid:durableId="305399896">
    <w:abstractNumId w:val="0"/>
  </w:num>
  <w:num w:numId="3" w16cid:durableId="628706654">
    <w:abstractNumId w:val="7"/>
  </w:num>
  <w:num w:numId="4" w16cid:durableId="2108236317">
    <w:abstractNumId w:val="2"/>
  </w:num>
  <w:num w:numId="5" w16cid:durableId="2028872257">
    <w:abstractNumId w:val="5"/>
  </w:num>
  <w:num w:numId="6" w16cid:durableId="822434001">
    <w:abstractNumId w:val="1"/>
  </w:num>
  <w:num w:numId="7" w16cid:durableId="183062852">
    <w:abstractNumId w:val="4"/>
  </w:num>
  <w:num w:numId="8" w16cid:durableId="1822193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36"/>
    <w:rsid w:val="000413ED"/>
    <w:rsid w:val="0004375A"/>
    <w:rsid w:val="0004377D"/>
    <w:rsid w:val="000D4460"/>
    <w:rsid w:val="000E7D0B"/>
    <w:rsid w:val="00141838"/>
    <w:rsid w:val="00192F86"/>
    <w:rsid w:val="001C5DEF"/>
    <w:rsid w:val="001D3937"/>
    <w:rsid w:val="001E1121"/>
    <w:rsid w:val="0020446F"/>
    <w:rsid w:val="0027491C"/>
    <w:rsid w:val="00275675"/>
    <w:rsid w:val="002A200D"/>
    <w:rsid w:val="002B6D04"/>
    <w:rsid w:val="003804CA"/>
    <w:rsid w:val="003B2D9E"/>
    <w:rsid w:val="00412536"/>
    <w:rsid w:val="004F3AF2"/>
    <w:rsid w:val="00551554"/>
    <w:rsid w:val="005677A5"/>
    <w:rsid w:val="00575771"/>
    <w:rsid w:val="00582077"/>
    <w:rsid w:val="005A21B6"/>
    <w:rsid w:val="00630438"/>
    <w:rsid w:val="00643AC6"/>
    <w:rsid w:val="00644CFA"/>
    <w:rsid w:val="006607BC"/>
    <w:rsid w:val="0066693B"/>
    <w:rsid w:val="006A0A23"/>
    <w:rsid w:val="006A1B1A"/>
    <w:rsid w:val="006C179A"/>
    <w:rsid w:val="006F3FBD"/>
    <w:rsid w:val="006F78BC"/>
    <w:rsid w:val="00703611"/>
    <w:rsid w:val="00766F87"/>
    <w:rsid w:val="007751F3"/>
    <w:rsid w:val="007C09BB"/>
    <w:rsid w:val="007C163C"/>
    <w:rsid w:val="008122BD"/>
    <w:rsid w:val="00813E16"/>
    <w:rsid w:val="0086366D"/>
    <w:rsid w:val="008C7360"/>
    <w:rsid w:val="008F158C"/>
    <w:rsid w:val="00904E80"/>
    <w:rsid w:val="009428F2"/>
    <w:rsid w:val="00954522"/>
    <w:rsid w:val="009D76E6"/>
    <w:rsid w:val="009E1174"/>
    <w:rsid w:val="009F4D5F"/>
    <w:rsid w:val="009F656B"/>
    <w:rsid w:val="00A0146E"/>
    <w:rsid w:val="00A05A9E"/>
    <w:rsid w:val="00AD72EE"/>
    <w:rsid w:val="00B12348"/>
    <w:rsid w:val="00B26341"/>
    <w:rsid w:val="00B87F98"/>
    <w:rsid w:val="00B90443"/>
    <w:rsid w:val="00BA14BD"/>
    <w:rsid w:val="00BE5D73"/>
    <w:rsid w:val="00C73160"/>
    <w:rsid w:val="00CA6C19"/>
    <w:rsid w:val="00D0316E"/>
    <w:rsid w:val="00D22A5F"/>
    <w:rsid w:val="00D95256"/>
    <w:rsid w:val="00D95C2A"/>
    <w:rsid w:val="00E248F9"/>
    <w:rsid w:val="00E271A6"/>
    <w:rsid w:val="00EA76C4"/>
    <w:rsid w:val="00F52B84"/>
    <w:rsid w:val="00FA0C4B"/>
    <w:rsid w:val="00FB3CE6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9808"/>
  <w15:docId w15:val="{90E0B3D1-3F4A-40E8-8525-B1CECD5C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25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611"/>
  </w:style>
  <w:style w:type="paragraph" w:styleId="Pieddepage">
    <w:name w:val="footer"/>
    <w:basedOn w:val="Normal"/>
    <w:link w:val="PieddepageCar"/>
    <w:uiPriority w:val="99"/>
    <w:unhideWhenUsed/>
    <w:rsid w:val="0070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611"/>
  </w:style>
  <w:style w:type="paragraph" w:styleId="NormalWeb">
    <w:name w:val="Normal (Web)"/>
    <w:basedOn w:val="Normal"/>
    <w:uiPriority w:val="99"/>
    <w:unhideWhenUsed/>
    <w:rsid w:val="00E2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LU"/>
      <w14:ligatures w14:val="none"/>
    </w:rPr>
  </w:style>
  <w:style w:type="character" w:styleId="lev">
    <w:name w:val="Strong"/>
    <w:basedOn w:val="Policepardfaut"/>
    <w:uiPriority w:val="22"/>
    <w:qFormat/>
    <w:rsid w:val="00E248F9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4E8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4E8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4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DC9E-640A-4B93-B773-01A7BA2F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Koehnen</dc:creator>
  <cp:keywords/>
  <dc:description/>
  <cp:lastModifiedBy>Patrick Koehnen</cp:lastModifiedBy>
  <cp:revision>15</cp:revision>
  <cp:lastPrinted>2023-04-13T09:35:00Z</cp:lastPrinted>
  <dcterms:created xsi:type="dcterms:W3CDTF">2023-04-27T09:34:00Z</dcterms:created>
  <dcterms:modified xsi:type="dcterms:W3CDTF">2023-05-25T14:12:00Z</dcterms:modified>
</cp:coreProperties>
</file>